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A60" w:rsidRPr="005D3A60" w:rsidRDefault="005D3A60" w:rsidP="005D3A60">
      <w:pPr>
        <w:keepNext/>
        <w:keepLines/>
        <w:spacing w:before="200" w:after="0" w:line="360" w:lineRule="auto"/>
        <w:outlineLvl w:val="2"/>
        <w:rPr>
          <w:rFonts w:ascii="Cambria" w:eastAsia="MS Gothic" w:hAnsi="Cambria" w:cs="Times New Roman"/>
          <w:b/>
          <w:bCs/>
          <w:color w:val="4F81BD"/>
          <w:sz w:val="24"/>
          <w:szCs w:val="24"/>
          <w:lang w:eastAsia="sl-SI"/>
        </w:rPr>
      </w:pPr>
      <w:bookmarkStart w:id="0" w:name="_GoBack"/>
      <w:r w:rsidRPr="005D3A60">
        <w:rPr>
          <w:rFonts w:ascii="Cambria" w:eastAsia="MS Gothic" w:hAnsi="Cambria" w:cs="Times New Roman"/>
          <w:b/>
          <w:bCs/>
          <w:color w:val="4F81BD"/>
          <w:sz w:val="24"/>
          <w:szCs w:val="24"/>
          <w:lang w:eastAsia="sl-SI"/>
        </w:rPr>
        <w:t>Analiza tveganja</w:t>
      </w:r>
    </w:p>
    <w:bookmarkEnd w:id="0"/>
    <w:p w:rsidR="005D3A60" w:rsidRPr="005D3A60" w:rsidRDefault="005D3A60" w:rsidP="005D3A60">
      <w:pPr>
        <w:autoSpaceDE w:val="0"/>
        <w:autoSpaceDN w:val="0"/>
        <w:adjustRightInd w:val="0"/>
        <w:spacing w:after="0" w:line="240" w:lineRule="auto"/>
        <w:rPr>
          <w:rFonts w:ascii="Times New Roman" w:eastAsia="Calibri" w:hAnsi="Times New Roman" w:cs="Times New Roman"/>
          <w:i/>
          <w:iCs/>
          <w:sz w:val="24"/>
          <w:szCs w:val="24"/>
        </w:rPr>
      </w:pPr>
    </w:p>
    <w:p w:rsidR="005D3A60" w:rsidRPr="005D3A60" w:rsidRDefault="005D3A60" w:rsidP="005D3A60">
      <w:pPr>
        <w:spacing w:after="120" w:line="360" w:lineRule="auto"/>
        <w:jc w:val="both"/>
        <w:rPr>
          <w:rFonts w:ascii="Times New Roman" w:eastAsia="Times New Roman" w:hAnsi="Times New Roman" w:cs="Times New Roman"/>
          <w:sz w:val="24"/>
          <w:szCs w:val="24"/>
          <w:lang w:eastAsia="sl-SI"/>
        </w:rPr>
      </w:pPr>
      <w:r w:rsidRPr="005D3A60">
        <w:rPr>
          <w:rFonts w:ascii="Times New Roman" w:eastAsia="Times New Roman" w:hAnsi="Times New Roman" w:cs="Times New Roman"/>
          <w:sz w:val="24"/>
          <w:szCs w:val="24"/>
          <w:lang w:eastAsia="sl-SI"/>
        </w:rPr>
        <w:t>Analiza tveganja je metoda za ocenjevanje tveganj v določeni situaciji. Omogoča nam, da za situacijo ogroženosti ali tveganja ocenimo, kakšna je nevarnost, kakšne grožnje obstajajo. V njej presodimo, kakšna je verjetnost dogodka in s katerimi ukrepi lahko zmanjšamo tveganja ali škodo, ki bi jo neugodni izid lahko povzročil.</w:t>
      </w:r>
    </w:p>
    <w:p w:rsidR="005D3A60" w:rsidRPr="005D3A60" w:rsidRDefault="005D3A60" w:rsidP="005D3A60">
      <w:pPr>
        <w:spacing w:after="120" w:line="360" w:lineRule="auto"/>
        <w:jc w:val="both"/>
        <w:rPr>
          <w:rFonts w:ascii="Times New Roman" w:eastAsia="Times New Roman" w:hAnsi="Times New Roman" w:cs="Times New Roman"/>
          <w:sz w:val="24"/>
          <w:szCs w:val="24"/>
          <w:lang w:eastAsia="sl-SI"/>
        </w:rPr>
      </w:pPr>
      <w:r w:rsidRPr="005D3A60">
        <w:rPr>
          <w:rFonts w:ascii="Times New Roman" w:eastAsia="Times New Roman" w:hAnsi="Times New Roman" w:cs="Times New Roman"/>
          <w:sz w:val="24"/>
          <w:szCs w:val="24"/>
          <w:lang w:eastAsia="sl-SI"/>
        </w:rPr>
        <w:t>Z analizo tveganja je moč po eni strani oceniti intenzivnost grožnje in verjetnost dogodka, po drugi strani pa razumeti samo tvegano situacijo in odnos med koristjo in nevarnostjo, ki ju tveganje prinaša.</w:t>
      </w:r>
    </w:p>
    <w:p w:rsidR="005D3A60" w:rsidRPr="005D3A60" w:rsidRDefault="005D3A60" w:rsidP="005D3A60">
      <w:pPr>
        <w:spacing w:after="120" w:line="360" w:lineRule="auto"/>
        <w:jc w:val="both"/>
        <w:rPr>
          <w:rFonts w:ascii="Times New Roman" w:eastAsia="Times New Roman" w:hAnsi="Times New Roman" w:cs="Times New Roman"/>
          <w:sz w:val="24"/>
          <w:szCs w:val="24"/>
          <w:lang w:eastAsia="sl-SI"/>
        </w:rPr>
      </w:pPr>
      <w:r w:rsidRPr="005D3A60">
        <w:rPr>
          <w:rFonts w:ascii="Times New Roman" w:eastAsia="Times New Roman" w:hAnsi="Times New Roman" w:cs="Times New Roman"/>
          <w:sz w:val="24"/>
          <w:szCs w:val="24"/>
          <w:lang w:eastAsia="sl-SI"/>
        </w:rPr>
        <w:t>V socialnem delu analizo tveganje uporabljamo:</w:t>
      </w:r>
    </w:p>
    <w:p w:rsidR="005D3A60" w:rsidRPr="005D3A60" w:rsidRDefault="005D3A60" w:rsidP="005D3A60">
      <w:pPr>
        <w:numPr>
          <w:ilvl w:val="0"/>
          <w:numId w:val="1"/>
        </w:numPr>
        <w:spacing w:after="120" w:line="360" w:lineRule="auto"/>
        <w:jc w:val="both"/>
        <w:rPr>
          <w:rFonts w:ascii="Times New Roman" w:eastAsia="Times New Roman" w:hAnsi="Times New Roman" w:cs="Times New Roman"/>
          <w:sz w:val="24"/>
          <w:szCs w:val="24"/>
          <w:lang w:eastAsia="sl-SI"/>
        </w:rPr>
      </w:pPr>
      <w:r w:rsidRPr="005D3A60">
        <w:rPr>
          <w:rFonts w:ascii="Times New Roman" w:eastAsia="Times New Roman" w:hAnsi="Times New Roman" w:cs="Times New Roman"/>
          <w:sz w:val="24"/>
          <w:szCs w:val="24"/>
          <w:lang w:eastAsia="sl-SI"/>
        </w:rPr>
        <w:t>tako rekoč pri vseh javnih pooblastilih (ta po navadi temeljijo prav na ogroženosti),</w:t>
      </w:r>
    </w:p>
    <w:p w:rsidR="005D3A60" w:rsidRPr="005D3A60" w:rsidRDefault="005D3A60" w:rsidP="005D3A60">
      <w:pPr>
        <w:numPr>
          <w:ilvl w:val="0"/>
          <w:numId w:val="1"/>
        </w:numPr>
        <w:spacing w:after="120" w:line="360" w:lineRule="auto"/>
        <w:jc w:val="both"/>
        <w:rPr>
          <w:rFonts w:ascii="Times New Roman" w:eastAsia="Times New Roman" w:hAnsi="Times New Roman" w:cs="Times New Roman"/>
          <w:sz w:val="24"/>
          <w:szCs w:val="24"/>
          <w:lang w:eastAsia="sl-SI"/>
        </w:rPr>
      </w:pPr>
      <w:r w:rsidRPr="005D3A60">
        <w:rPr>
          <w:rFonts w:ascii="Times New Roman" w:eastAsia="Times New Roman" w:hAnsi="Times New Roman" w:cs="Times New Roman"/>
          <w:sz w:val="24"/>
          <w:szCs w:val="24"/>
          <w:lang w:eastAsia="sl-SI"/>
        </w:rPr>
        <w:t>pri utemeljevanju omejevalnih ukrepov kot tudi,</w:t>
      </w:r>
    </w:p>
    <w:p w:rsidR="005D3A60" w:rsidRPr="005D3A60" w:rsidRDefault="005D3A60" w:rsidP="005D3A60">
      <w:pPr>
        <w:numPr>
          <w:ilvl w:val="0"/>
          <w:numId w:val="1"/>
        </w:numPr>
        <w:spacing w:after="120" w:line="360" w:lineRule="auto"/>
        <w:jc w:val="both"/>
        <w:rPr>
          <w:rFonts w:ascii="Times New Roman" w:eastAsia="Times New Roman" w:hAnsi="Times New Roman" w:cs="Times New Roman"/>
          <w:sz w:val="24"/>
          <w:szCs w:val="24"/>
          <w:lang w:eastAsia="sl-SI"/>
        </w:rPr>
      </w:pPr>
      <w:r w:rsidRPr="005D3A60">
        <w:rPr>
          <w:rFonts w:ascii="Times New Roman" w:eastAsia="Times New Roman" w:hAnsi="Times New Roman" w:cs="Times New Roman"/>
          <w:sz w:val="24"/>
          <w:szCs w:val="24"/>
          <w:lang w:eastAsia="sl-SI"/>
        </w:rPr>
        <w:t>ukrepov, ki uporabnicam širijo možnosti,</w:t>
      </w:r>
    </w:p>
    <w:p w:rsidR="005D3A60" w:rsidRPr="005D3A60" w:rsidRDefault="005D3A60" w:rsidP="005D3A60">
      <w:pPr>
        <w:numPr>
          <w:ilvl w:val="0"/>
          <w:numId w:val="1"/>
        </w:numPr>
        <w:spacing w:after="120" w:line="360" w:lineRule="auto"/>
        <w:jc w:val="both"/>
        <w:rPr>
          <w:rFonts w:ascii="Times New Roman" w:eastAsia="Times New Roman" w:hAnsi="Times New Roman" w:cs="Times New Roman"/>
          <w:sz w:val="24"/>
          <w:szCs w:val="24"/>
          <w:lang w:eastAsia="sl-SI"/>
        </w:rPr>
      </w:pPr>
      <w:r w:rsidRPr="005D3A60">
        <w:rPr>
          <w:rFonts w:ascii="Times New Roman" w:eastAsia="Times New Roman" w:hAnsi="Times New Roman" w:cs="Times New Roman"/>
          <w:sz w:val="24"/>
          <w:szCs w:val="24"/>
          <w:lang w:eastAsia="sl-SI"/>
        </w:rPr>
        <w:t>pri preprečevanju škode in prepričevanju akterjev tveganih situacij.</w:t>
      </w:r>
    </w:p>
    <w:p w:rsidR="005D3A60" w:rsidRPr="005D3A60" w:rsidRDefault="005D3A60" w:rsidP="005D3A60">
      <w:pPr>
        <w:spacing w:after="120" w:line="360" w:lineRule="auto"/>
        <w:jc w:val="both"/>
        <w:rPr>
          <w:rFonts w:ascii="Times New Roman" w:eastAsia="Times New Roman" w:hAnsi="Times New Roman" w:cs="Times New Roman"/>
          <w:sz w:val="24"/>
          <w:szCs w:val="24"/>
          <w:lang w:eastAsia="sl-SI"/>
        </w:rPr>
      </w:pPr>
      <w:r w:rsidRPr="005D3A60">
        <w:rPr>
          <w:rFonts w:ascii="Times New Roman" w:eastAsia="Times New Roman" w:hAnsi="Times New Roman" w:cs="Times New Roman"/>
          <w:sz w:val="24"/>
          <w:szCs w:val="24"/>
          <w:lang w:eastAsia="sl-SI"/>
        </w:rPr>
        <w:t xml:space="preserve">Analiza tveganja je orodje ukrepanja in ravnanja v tveganih situacijah, lahko je tudi način razmišljanja in svetovanja, predvsem pa je zapis analize tveganja dokument, ki priča o tem, da smo tveganje analizirali. Navodila in podporo za izvedbo (in zapis) te naloge študentka dobi pri predmetu Zasvojenosti. </w:t>
      </w:r>
    </w:p>
    <w:p w:rsidR="00E239EF" w:rsidRPr="008F537B" w:rsidRDefault="00E239EF" w:rsidP="008F537B"/>
    <w:sectPr w:rsidR="00E239EF" w:rsidRPr="008F53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9DE" w:rsidRDefault="007679DE" w:rsidP="00852B6A">
      <w:pPr>
        <w:spacing w:after="0" w:line="240" w:lineRule="auto"/>
      </w:pPr>
      <w:r>
        <w:separator/>
      </w:r>
    </w:p>
  </w:endnote>
  <w:endnote w:type="continuationSeparator" w:id="0">
    <w:p w:rsidR="007679DE" w:rsidRDefault="007679DE" w:rsidP="0085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9DE" w:rsidRDefault="007679DE" w:rsidP="00852B6A">
      <w:pPr>
        <w:spacing w:after="0" w:line="240" w:lineRule="auto"/>
      </w:pPr>
      <w:r>
        <w:separator/>
      </w:r>
    </w:p>
  </w:footnote>
  <w:footnote w:type="continuationSeparator" w:id="0">
    <w:p w:rsidR="007679DE" w:rsidRDefault="007679DE" w:rsidP="00852B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63197"/>
    <w:multiLevelType w:val="hybridMultilevel"/>
    <w:tmpl w:val="5734DA7C"/>
    <w:lvl w:ilvl="0" w:tplc="D5047F7C">
      <w:start w:val="2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53"/>
    <w:rsid w:val="001357B5"/>
    <w:rsid w:val="002718C2"/>
    <w:rsid w:val="005D3A60"/>
    <w:rsid w:val="00610BD5"/>
    <w:rsid w:val="007679DE"/>
    <w:rsid w:val="00852B6A"/>
    <w:rsid w:val="008F537B"/>
    <w:rsid w:val="00916953"/>
    <w:rsid w:val="00B27057"/>
    <w:rsid w:val="00E239EF"/>
    <w:rsid w:val="00EA59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07E42-C225-49F7-A4CA-AC30B4B6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Šabić, Amra</dc:creator>
  <cp:keywords/>
  <dc:description/>
  <cp:lastModifiedBy>Šabić, Amra</cp:lastModifiedBy>
  <cp:revision>2</cp:revision>
  <dcterms:created xsi:type="dcterms:W3CDTF">2021-10-07T15:16:00Z</dcterms:created>
  <dcterms:modified xsi:type="dcterms:W3CDTF">2021-10-07T15:16:00Z</dcterms:modified>
</cp:coreProperties>
</file>