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4005"/>
      </w:tblGrid>
      <w:tr w:rsidR="00092151" w:rsidRPr="00092151" w:rsidTr="00092151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4005"/>
            </w:tblGrid>
            <w:tr w:rsidR="00092151" w:rsidRPr="00092151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30"/>
                  </w:tblGrid>
                  <w:tr w:rsidR="00092151" w:rsidRPr="00092151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30"/>
                        </w:tblGrid>
                        <w:tr w:rsidR="00092151" w:rsidRPr="0009215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60"/>
                              </w:tblGrid>
                              <w:tr w:rsidR="00092151" w:rsidRPr="0009215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092151" w:rsidRPr="00092151" w:rsidRDefault="00092151" w:rsidP="00092151">
                                    <w:pPr>
                                      <w:rPr>
                                        <w:lang w:val="sl-SI"/>
                                      </w:rPr>
                                    </w:pPr>
                                    <w:r w:rsidRPr="00092151">
                                      <w:rPr>
                                        <w:noProof/>
                                        <w:lang w:val="sl-SI" w:eastAsia="sl-SI" w:bidi="ar-SA"/>
                                      </w:rPr>
                                      <w:drawing>
                                        <wp:inline distT="0" distB="0" distL="0" distR="0">
                                          <wp:extent cx="5372100" cy="904875"/>
                                          <wp:effectExtent l="19050" t="0" r="0" b="0"/>
                                          <wp:docPr id="11" name="Slika 11" descr="https://gallery.mailchimp.com/215f8f23d8fa47510e4ffa76b/images/EBSCO_Newsletter_2014_03_eBooks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 descr="https://gallery.mailchimp.com/215f8f23d8fa47510e4ffa76b/images/EBSCO_Newsletter_2014_03_eBooks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904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92151" w:rsidRPr="00092151" w:rsidRDefault="00092151" w:rsidP="00092151">
                              <w:pPr>
                                <w:rPr>
                                  <w:lang w:val="sl-SI"/>
                                </w:rPr>
                              </w:pPr>
                            </w:p>
                          </w:tc>
                        </w:tr>
                      </w:tbl>
                      <w:p w:rsidR="00092151" w:rsidRPr="00092151" w:rsidRDefault="00092151" w:rsidP="00092151">
                        <w:pPr>
                          <w:rPr>
                            <w:lang w:val="sl-SI"/>
                          </w:rPr>
                        </w:pPr>
                      </w:p>
                    </w:tc>
                  </w:tr>
                </w:tbl>
                <w:p w:rsidR="00092151" w:rsidRPr="00092151" w:rsidRDefault="00092151" w:rsidP="00092151">
                  <w:pPr>
                    <w:rPr>
                      <w:lang w:val="sl-SI"/>
                    </w:rPr>
                  </w:pPr>
                </w:p>
              </w:tc>
            </w:tr>
          </w:tbl>
          <w:p w:rsidR="00092151" w:rsidRPr="00B803D2" w:rsidRDefault="00D76A9E" w:rsidP="00D76A9E">
            <w:pPr>
              <w:jc w:val="center"/>
              <w:rPr>
                <w:b/>
                <w:sz w:val="28"/>
                <w:szCs w:val="28"/>
                <w:lang w:val="sl-SI"/>
              </w:rPr>
            </w:pPr>
            <w:r w:rsidRPr="00B803D2">
              <w:rPr>
                <w:b/>
                <w:sz w:val="28"/>
                <w:szCs w:val="28"/>
                <w:lang w:val="sl-SI"/>
              </w:rPr>
              <w:t>EBSCO ONLINE SEMINARJI ZA ISKANJE IN UPORABO NJIHOVIH ELEKTRONSKIH KNJIG</w:t>
            </w:r>
          </w:p>
        </w:tc>
      </w:tr>
      <w:tr w:rsidR="00092151" w:rsidRPr="00092151" w:rsidTr="00092151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4005"/>
            </w:tblGrid>
            <w:tr w:rsidR="00092151" w:rsidRPr="00092151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880"/>
                  </w:tblGrid>
                  <w:tr w:rsidR="00092151" w:rsidRPr="00092151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1880"/>
                        </w:tblGrid>
                        <w:tr w:rsidR="00092151" w:rsidRPr="00092151">
                          <w:tc>
                            <w:tcPr>
                              <w:tcW w:w="0" w:type="auto"/>
                              <w:hideMark/>
                            </w:tcPr>
                            <w:p w:rsidR="00D76A9E" w:rsidRDefault="00D76A9E"/>
                            <w:tbl>
                              <w:tblPr>
                                <w:tblpPr w:leftFromText="45" w:rightFromText="45" w:vertAnchor="text"/>
                                <w:tblW w:w="1188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1880"/>
                              </w:tblGrid>
                              <w:tr w:rsidR="00092151" w:rsidRPr="00092151" w:rsidTr="00036314">
                                <w:tc>
                                  <w:tcPr>
                                    <w:tcW w:w="11880" w:type="dxa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092151" w:rsidRDefault="00092151" w:rsidP="00092151">
                                    <w:pPr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</w:pP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Public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Webinars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on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eBooks</w:t>
                                    </w:r>
                                    <w:proofErr w:type="spellEnd"/>
                                  </w:p>
                                  <w:p w:rsidR="00D76A9E" w:rsidRPr="00092151" w:rsidRDefault="00D76A9E" w:rsidP="00092151">
                                    <w:pPr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</w:pPr>
                                  </w:p>
                                  <w:p w:rsidR="00092151" w:rsidRPr="00092151" w:rsidRDefault="00092151" w:rsidP="00092151">
                                    <w:pPr>
                                      <w:rPr>
                                        <w:lang w:val="sl-SI"/>
                                      </w:rPr>
                                    </w:pP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This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month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will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be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focused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on EBSCO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eBooks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. In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our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public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online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trainings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would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like to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present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ways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you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can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benefit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from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having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eBooks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for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your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research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>/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study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at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your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library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sessions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scheduled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will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be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of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two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main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types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>.</w:t>
                                    </w:r>
                                  </w:p>
                                  <w:p w:rsidR="00092151" w:rsidRPr="00092151" w:rsidRDefault="00092151" w:rsidP="00092151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lang w:val="sl-SI"/>
                                      </w:rPr>
                                    </w:pP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eBooks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Practical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Session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-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dealing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with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practical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ways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of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searching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browsing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eBooks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and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especially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ways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of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retrieving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full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text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for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reading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offline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You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will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be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presented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with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process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of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downloading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whole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eBooks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and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saving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eBook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chapters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as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PDFs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into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your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computer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. As a part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of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session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will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also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briefly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talk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about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possibilities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of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setting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eBooks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at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your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library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which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might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be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beneficial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mainly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for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librarians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>.</w:t>
                                    </w:r>
                                  </w:p>
                                  <w:p w:rsidR="00092151" w:rsidRPr="00092151" w:rsidRDefault="00092151" w:rsidP="00D76A9E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lang w:val="sl-SI"/>
                                      </w:rPr>
                                    </w:pP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eBook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Acquisition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-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for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those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of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you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who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are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involved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in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library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acquisition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and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would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like to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know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more</w:t>
                                    </w:r>
                                    <w:r w:rsidR="00D76A9E">
                                      <w:rPr>
                                        <w:lang w:val="sl-SI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092151" w:rsidRPr="00092151" w:rsidRDefault="00092151" w:rsidP="00092151">
                              <w:pPr>
                                <w:rPr>
                                  <w:lang w:val="sl-SI"/>
                                </w:rPr>
                              </w:pPr>
                            </w:p>
                          </w:tc>
                        </w:tr>
                      </w:tbl>
                      <w:p w:rsidR="00092151" w:rsidRPr="00092151" w:rsidRDefault="00092151" w:rsidP="00092151">
                        <w:pPr>
                          <w:rPr>
                            <w:lang w:val="sl-SI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1880"/>
                        </w:tblGrid>
                        <w:tr w:rsidR="00092151" w:rsidRPr="0009215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114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1400"/>
                              </w:tblGrid>
                              <w:tr w:rsidR="00092151" w:rsidRPr="00092151" w:rsidTr="00036314">
                                <w:tc>
                                  <w:tcPr>
                                    <w:tcW w:w="11400" w:type="dxa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092151" w:rsidRPr="00092151" w:rsidRDefault="00092151" w:rsidP="00092151">
                                    <w:pPr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</w:pP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Dates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of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seminars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-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eBooks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Session</w:t>
                                    </w:r>
                                    <w:proofErr w:type="spellEnd"/>
                                  </w:p>
                                  <w:p w:rsidR="00092151" w:rsidRPr="00092151" w:rsidRDefault="00092151" w:rsidP="00092151">
                                    <w:pPr>
                                      <w:rPr>
                                        <w:lang w:val="sl-SI"/>
                                      </w:rPr>
                                    </w:pPr>
                                    <w:r w:rsidRPr="00092151">
                                      <w:rPr>
                                        <w:lang w:val="sl-SI"/>
                                      </w:rPr>
                                      <w:t> </w:t>
                                    </w:r>
                                    <w:r w:rsidRPr="00092151">
                                      <w:rPr>
                                        <w:lang w:val="sl-SI"/>
                                      </w:rPr>
                                      <w:br/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sessions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will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take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place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on:</w:t>
                                    </w:r>
                                  </w:p>
                                  <w:p w:rsidR="00092151" w:rsidRDefault="00092151" w:rsidP="00092151">
                                    <w:pPr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</w:pPr>
                                  </w:p>
                                  <w:p w:rsidR="00092151" w:rsidRPr="00092151" w:rsidRDefault="00092151" w:rsidP="00092151">
                                    <w:pPr>
                                      <w:rPr>
                                        <w:lang w:val="sl-SI"/>
                                      </w:rPr>
                                    </w:pP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Friday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March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21</w:t>
                                    </w:r>
                                    <w:r w:rsidRPr="00092151">
                                      <w:rPr>
                                        <w:b/>
                                        <w:bCs/>
                                        <w:vertAlign w:val="superscript"/>
                                        <w:lang w:val="sl-SI"/>
                                      </w:rPr>
                                      <w:t>st</w:t>
                                    </w:r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  (10:00 – 11:00</w:t>
                                    </w:r>
                                    <w:r w:rsidRPr="00092151">
                                      <w:rPr>
                                        <w:b/>
                                        <w:bCs/>
                                        <w:vertAlign w:val="superscript"/>
                                        <w:lang w:val="sl-SI"/>
                                      </w:rPr>
                                      <w:t xml:space="preserve"> </w:t>
                                    </w:r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Central-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European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Time) </w:t>
                                    </w:r>
                                    <w:r w:rsidRPr="00092151">
                                      <w:rPr>
                                        <w:lang w:val="sl-SI"/>
                                      </w:rPr>
                                      <w:br/>
                                    </w:r>
                                    <w:hyperlink r:id="rId6" w:tgtFrame="_blank" w:history="1">
                                      <w:r w:rsidRPr="00092151">
                                        <w:rPr>
                                          <w:rStyle w:val="Hiperpovezava"/>
                                          <w:lang w:val="sl-SI"/>
                                        </w:rPr>
                                        <w:t>https://ebscomeetings.webex.com/ebscomeetings/j.php?ED=259116912&amp;UID=495330402&amp;RT=MiMxNDI%3D</w:t>
                                      </w:r>
                                    </w:hyperlink>
                                  </w:p>
                                  <w:p w:rsidR="00092151" w:rsidRDefault="00092151" w:rsidP="00092151">
                                    <w:pPr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</w:pPr>
                                  </w:p>
                                  <w:p w:rsidR="00092151" w:rsidRDefault="00092151" w:rsidP="00092151">
                                    <w:pPr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</w:pP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Monday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March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24</w:t>
                                    </w:r>
                                    <w:r w:rsidRPr="00092151">
                                      <w:rPr>
                                        <w:b/>
                                        <w:bCs/>
                                        <w:vertAlign w:val="superscript"/>
                                        <w:lang w:val="sl-SI"/>
                                      </w:rPr>
                                      <w:t>th</w:t>
                                    </w:r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  (10:00 – 11:00</w:t>
                                    </w:r>
                                    <w:r w:rsidRPr="00092151">
                                      <w:rPr>
                                        <w:b/>
                                        <w:bCs/>
                                        <w:vertAlign w:val="superscript"/>
                                        <w:lang w:val="sl-SI"/>
                                      </w:rPr>
                                      <w:t xml:space="preserve"> </w:t>
                                    </w:r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Central-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European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Time) </w:t>
                                    </w:r>
                                    <w:r w:rsidRPr="00092151">
                                      <w:rPr>
                                        <w:lang w:val="sl-SI"/>
                                      </w:rPr>
                                      <w:br/>
                                    </w:r>
                                    <w:hyperlink r:id="rId7" w:tgtFrame="_blank" w:history="1">
                                      <w:r w:rsidRPr="00092151">
                                        <w:rPr>
                                          <w:rStyle w:val="Hiperpovezava"/>
                                          <w:lang w:val="sl-SI"/>
                                        </w:rPr>
                                        <w:t>https://ebscomeetings.webex.com/ebscomeetings/j.php?ED=259117172&amp;UID=495330402&amp;RT=MiMxNDI%3D</w:t>
                                      </w:r>
                                    </w:hyperlink>
                                    <w:r w:rsidRPr="00092151">
                                      <w:rPr>
                                        <w:lang w:val="sl-SI"/>
                                      </w:rPr>
                                      <w:br/>
                                    </w:r>
                                  </w:p>
                                  <w:p w:rsidR="00092151" w:rsidRPr="00092151" w:rsidRDefault="00092151" w:rsidP="00092151">
                                    <w:pPr>
                                      <w:rPr>
                                        <w:lang w:val="sl-SI"/>
                                      </w:rPr>
                                    </w:pP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Friday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March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28</w:t>
                                    </w:r>
                                    <w:r w:rsidRPr="00092151">
                                      <w:rPr>
                                        <w:b/>
                                        <w:bCs/>
                                        <w:vertAlign w:val="superscript"/>
                                        <w:lang w:val="sl-SI"/>
                                      </w:rPr>
                                      <w:t>th</w:t>
                                    </w:r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  (10:00 – 11:00</w:t>
                                    </w:r>
                                    <w:r w:rsidRPr="00092151">
                                      <w:rPr>
                                        <w:b/>
                                        <w:bCs/>
                                        <w:vertAlign w:val="superscript"/>
                                        <w:lang w:val="sl-SI"/>
                                      </w:rPr>
                                      <w:t xml:space="preserve"> </w:t>
                                    </w:r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Central-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European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Time) </w:t>
                                    </w:r>
                                    <w:r w:rsidRPr="00092151">
                                      <w:rPr>
                                        <w:lang w:val="sl-SI"/>
                                      </w:rPr>
                                      <w:br/>
                                    </w:r>
                                    <w:hyperlink r:id="rId8" w:tgtFrame="_blank" w:history="1">
                                      <w:r w:rsidRPr="00092151">
                                        <w:rPr>
                                          <w:rStyle w:val="Hiperpovezava"/>
                                          <w:lang w:val="sl-SI"/>
                                        </w:rPr>
                                        <w:t>https://ebscomeetings.webex.com/ebscomeetings/j.php?ED=259117187&amp;UID=495330402&amp;RT=MiMxNDI%3D</w:t>
                                      </w:r>
                                    </w:hyperlink>
                                  </w:p>
                                  <w:p w:rsidR="00D76A9E" w:rsidRDefault="00D76A9E" w:rsidP="00036314">
                                    <w:pPr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</w:pPr>
                                  </w:p>
                                  <w:p w:rsidR="00092151" w:rsidRPr="00092151" w:rsidRDefault="00092151" w:rsidP="00036314">
                                    <w:pPr>
                                      <w:rPr>
                                        <w:lang w:val="sl-SI"/>
                                      </w:rPr>
                                    </w:pPr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Note</w:t>
                                    </w:r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: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Please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find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more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information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on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how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to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join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webinar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at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hyperlink w:anchor="Bottom" w:tgtFrame="_self" w:history="1">
                                      <w:proofErr w:type="spellStart"/>
                                      <w:r w:rsidRPr="00092151">
                                        <w:rPr>
                                          <w:rStyle w:val="Hiperpovezava"/>
                                          <w:lang w:val="sl-SI"/>
                                        </w:rPr>
                                        <w:t>bottom</w:t>
                                      </w:r>
                                      <w:proofErr w:type="spellEnd"/>
                                    </w:hyperlink>
                                    <w:r w:rsidR="00036314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36314">
                                      <w:rPr>
                                        <w:lang w:val="sl-SI"/>
                                      </w:rPr>
                                      <w:t>of</w:t>
                                    </w:r>
                                    <w:proofErr w:type="spellEnd"/>
                                    <w:r w:rsidR="00036314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36314">
                                      <w:rPr>
                                        <w:lang w:val="sl-SI"/>
                                      </w:rPr>
                                      <w:t>this</w:t>
                                    </w:r>
                                    <w:proofErr w:type="spellEnd"/>
                                    <w:r w:rsidR="00036314">
                                      <w:rPr>
                                        <w:lang w:val="sl-SI"/>
                                      </w:rPr>
                                      <w:t xml:space="preserve"> e-</w:t>
                                    </w:r>
                                    <w:proofErr w:type="spellStart"/>
                                    <w:r w:rsidR="00036314">
                                      <w:rPr>
                                        <w:lang w:val="sl-SI"/>
                                      </w:rPr>
                                      <w:t>m</w:t>
                                    </w:r>
                                    <w:r w:rsidRPr="00092151">
                                      <w:rPr>
                                        <w:lang w:val="sl-SI"/>
                                      </w:rPr>
                                      <w:t>ail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092151" w:rsidRPr="00092151" w:rsidRDefault="00092151" w:rsidP="00092151">
                              <w:pPr>
                                <w:rPr>
                                  <w:lang w:val="sl-SI"/>
                                </w:rPr>
                              </w:pPr>
                            </w:p>
                          </w:tc>
                        </w:tr>
                      </w:tbl>
                      <w:p w:rsidR="00092151" w:rsidRPr="00092151" w:rsidRDefault="00092151" w:rsidP="00092151">
                        <w:pPr>
                          <w:rPr>
                            <w:lang w:val="sl-SI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1880"/>
                        </w:tblGrid>
                        <w:tr w:rsidR="00092151" w:rsidRPr="0009215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9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092151" w:rsidRPr="0009215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092151" w:rsidRPr="00092151" w:rsidRDefault="00092151" w:rsidP="00092151">
                                    <w:pPr>
                                      <w:rPr>
                                        <w:lang w:val="sl-SI"/>
                                      </w:rPr>
                                    </w:pPr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EBSCO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webinars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-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How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does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it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work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br/>
                                    </w:r>
                                    <w:r w:rsidRPr="00092151">
                                      <w:rPr>
                                        <w:lang w:val="sl-SI"/>
                                      </w:rPr>
                                      <w:br/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perform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online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sessions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through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online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tool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called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WebEx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During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session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a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trainer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shares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desktop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with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participants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thus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are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able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to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see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anything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on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their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monitors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For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communication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use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a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headset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thus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audio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connection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is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available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to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provide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a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full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feedback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via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a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microphone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or a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keyboard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if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microphone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is not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available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for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participant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).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Please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find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below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system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requirements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for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sessions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>:</w:t>
                                    </w:r>
                                    <w:r w:rsidRPr="00092151">
                                      <w:rPr>
                                        <w:lang w:val="sl-SI"/>
                                      </w:rPr>
                                      <w:br/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How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to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join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session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br/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When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it is time to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join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click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on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link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provided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with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your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WebEx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invitation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please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find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above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in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this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e-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mail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).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Please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try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to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join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webinar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approximately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5-10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minutes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before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it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starts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>.</w:t>
                                    </w:r>
                                    <w:r w:rsidRPr="00092151">
                                      <w:rPr>
                                        <w:lang w:val="sl-SI"/>
                                      </w:rPr>
                                      <w:br/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System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Requirements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of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WebEx</w:t>
                                    </w:r>
                                    <w:proofErr w:type="spellEnd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b/>
                                        <w:bCs/>
                                        <w:lang w:val="sl-SI"/>
                                      </w:rPr>
                                      <w:t>Application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br/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Without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need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to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install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any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additional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software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you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(or more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participants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can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join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session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from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any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computer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that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fulfills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following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requirements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>:</w:t>
                                    </w:r>
                                  </w:p>
                                  <w:p w:rsidR="00092151" w:rsidRPr="00092151" w:rsidRDefault="00092151" w:rsidP="00092151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rPr>
                                        <w:lang w:val="sl-SI"/>
                                      </w:rPr>
                                    </w:pPr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Java 5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plugin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(or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newer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installed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) –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usually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already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installed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on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computer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br/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Headphones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>/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speakers</w:t>
                                    </w:r>
                                    <w:proofErr w:type="spellEnd"/>
                                  </w:p>
                                  <w:p w:rsidR="00092151" w:rsidRPr="00092151" w:rsidRDefault="00092151" w:rsidP="00092151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rPr>
                                        <w:lang w:val="sl-SI"/>
                                      </w:rPr>
                                    </w:pP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Stable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connection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to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internet</w:t>
                                    </w:r>
                                  </w:p>
                                  <w:p w:rsidR="00092151" w:rsidRPr="00092151" w:rsidRDefault="00092151" w:rsidP="00092151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rPr>
                                        <w:lang w:val="sl-SI"/>
                                      </w:rPr>
                                    </w:pP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Microphone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–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recommended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for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better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interactivity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between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trainer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and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attendees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If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you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do not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have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microphone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you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can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use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a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chat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box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during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training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session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to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provide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a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written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feedback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communication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can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also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be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realized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via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phone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>).</w:t>
                                    </w:r>
                                    <w:bookmarkStart w:id="0" w:name="Bottom"/>
                                    <w:bookmarkEnd w:id="0"/>
                                  </w:p>
                                  <w:p w:rsidR="00092151" w:rsidRDefault="00092151" w:rsidP="00D52F43">
                                    <w:pPr>
                                      <w:rPr>
                                        <w:lang w:val="sl-SI"/>
                                      </w:rPr>
                                    </w:pPr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In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case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you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have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any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questions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regarding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scheduled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training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sessions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their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content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or a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way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how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you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can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participate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please</w:t>
                                    </w:r>
                                    <w:proofErr w:type="spellEnd"/>
                                    <w:r w:rsidRPr="00092151">
                                      <w:rPr>
                                        <w:lang w:val="sl-SI"/>
                                      </w:rPr>
                                      <w:t xml:space="preserve"> do not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h</w:t>
                                    </w:r>
                                    <w:r w:rsidR="00D52F43">
                                      <w:rPr>
                                        <w:lang w:val="sl-SI"/>
                                      </w:rPr>
                                      <w:t>esitate</w:t>
                                    </w:r>
                                    <w:proofErr w:type="spellEnd"/>
                                    <w:r w:rsidR="00D52F43">
                                      <w:rPr>
                                        <w:lang w:val="sl-SI"/>
                                      </w:rPr>
                                      <w:t xml:space="preserve"> to </w:t>
                                    </w:r>
                                    <w:proofErr w:type="spellStart"/>
                                    <w:r w:rsidR="00D52F43">
                                      <w:rPr>
                                        <w:lang w:val="sl-SI"/>
                                      </w:rPr>
                                      <w:t>contact</w:t>
                                    </w:r>
                                    <w:proofErr w:type="spellEnd"/>
                                    <w:r w:rsidR="00D52F43">
                                      <w:rPr>
                                        <w:lang w:val="sl-SI"/>
                                      </w:rPr>
                                      <w:t xml:space="preserve"> us </w:t>
                                    </w:r>
                                    <w:proofErr w:type="spellStart"/>
                                    <w:r w:rsidR="00D52F43">
                                      <w:rPr>
                                        <w:lang w:val="sl-SI"/>
                                      </w:rPr>
                                      <w:t>anytime</w:t>
                                    </w:r>
                                    <w:proofErr w:type="spellEnd"/>
                                    <w:r w:rsidR="00D52F43">
                                      <w:rPr>
                                        <w:lang w:val="sl-SI"/>
                                      </w:rPr>
                                      <w:t>.</w:t>
                                    </w:r>
                                    <w:r w:rsidR="00D52F43">
                                      <w:rPr>
                                        <w:lang w:val="sl-SI"/>
                                      </w:rPr>
                                      <w:br/>
                                    </w:r>
                                    <w:r w:rsidRPr="00092151">
                                      <w:rPr>
                                        <w:lang w:val="sl-SI"/>
                                      </w:rPr>
                                      <w:br/>
                                      <w:t xml:space="preserve">Pavel </w:t>
                                    </w:r>
                                    <w:proofErr w:type="spellStart"/>
                                    <w:r w:rsidRPr="00092151">
                                      <w:rPr>
                                        <w:lang w:val="sl-SI"/>
                                      </w:rPr>
                                      <w:t>Synek</w:t>
                                    </w:r>
                                    <w:proofErr w:type="spellEnd"/>
                                  </w:p>
                                  <w:p w:rsidR="00036314" w:rsidRPr="00036314" w:rsidRDefault="00447573" w:rsidP="00D52F43">
                                    <w:pPr>
                                      <w:rPr>
                                        <w:sz w:val="18"/>
                                        <w:szCs w:val="18"/>
                                        <w:lang w:val="sl-SI"/>
                                      </w:rPr>
                                    </w:pPr>
                                    <w:hyperlink r:id="rId9" w:history="1">
                                      <w:r w:rsidR="00036314" w:rsidRPr="00036314">
                                        <w:rPr>
                                          <w:rStyle w:val="Hiperpovezava"/>
                                          <w:rFonts w:ascii="Helvetica" w:hAnsi="Helvetica" w:cs="Helvetica"/>
                                          <w:color w:val="606060"/>
                                          <w:sz w:val="18"/>
                                          <w:szCs w:val="18"/>
                                        </w:rPr>
                                        <w:t>psynek@ebsco.com</w:t>
                                      </w:r>
                                    </w:hyperlink>
                                    <w:r w:rsidR="00036314" w:rsidRPr="00036314">
                                      <w:rPr>
                                        <w:rFonts w:ascii="Helvetica" w:hAnsi="Helvetica" w:cs="Helvetica"/>
                                        <w:color w:val="606060"/>
                                        <w:sz w:val="18"/>
                                        <w:szCs w:val="18"/>
                                      </w:rPr>
                                      <w:br/>
                                      <w:t>Mobile: +420 734 841 521</w:t>
                                    </w:r>
                                    <w:r w:rsidR="00036314" w:rsidRPr="00036314">
                                      <w:rPr>
                                        <w:rFonts w:ascii="Helvetica" w:hAnsi="Helvetica" w:cs="Helvetica"/>
                                        <w:color w:val="60606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:rsidR="00092151" w:rsidRPr="00092151" w:rsidRDefault="00092151" w:rsidP="00092151">
                              <w:pPr>
                                <w:rPr>
                                  <w:lang w:val="sl-SI"/>
                                </w:rPr>
                              </w:pPr>
                            </w:p>
                          </w:tc>
                        </w:tr>
                      </w:tbl>
                      <w:p w:rsidR="00092151" w:rsidRPr="00092151" w:rsidRDefault="00092151" w:rsidP="00092151">
                        <w:pPr>
                          <w:rPr>
                            <w:lang w:val="sl-SI"/>
                          </w:rPr>
                        </w:pPr>
                      </w:p>
                    </w:tc>
                  </w:tr>
                </w:tbl>
                <w:p w:rsidR="00092151" w:rsidRPr="00092151" w:rsidRDefault="00092151" w:rsidP="00092151">
                  <w:pPr>
                    <w:rPr>
                      <w:lang w:val="sl-SI"/>
                    </w:rPr>
                  </w:pPr>
                </w:p>
              </w:tc>
            </w:tr>
          </w:tbl>
          <w:p w:rsidR="00092151" w:rsidRPr="00092151" w:rsidRDefault="00092151" w:rsidP="00092151">
            <w:pPr>
              <w:rPr>
                <w:lang w:val="sl-SI"/>
              </w:rPr>
            </w:pPr>
          </w:p>
        </w:tc>
      </w:tr>
    </w:tbl>
    <w:p w:rsidR="0095465C" w:rsidRPr="00092151" w:rsidRDefault="0095465C">
      <w:pPr>
        <w:rPr>
          <w:lang w:val="sl-SI"/>
        </w:rPr>
      </w:pPr>
    </w:p>
    <w:sectPr w:rsidR="0095465C" w:rsidRPr="00092151" w:rsidSect="00092151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3758E"/>
    <w:multiLevelType w:val="multilevel"/>
    <w:tmpl w:val="391E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E57CF6"/>
    <w:multiLevelType w:val="multilevel"/>
    <w:tmpl w:val="5B7C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92151"/>
    <w:rsid w:val="00011F3F"/>
    <w:rsid w:val="00036314"/>
    <w:rsid w:val="00056D0A"/>
    <w:rsid w:val="00086523"/>
    <w:rsid w:val="00092151"/>
    <w:rsid w:val="00113A74"/>
    <w:rsid w:val="00253869"/>
    <w:rsid w:val="00447573"/>
    <w:rsid w:val="008555C2"/>
    <w:rsid w:val="0095465C"/>
    <w:rsid w:val="00B76690"/>
    <w:rsid w:val="00B803D2"/>
    <w:rsid w:val="00D52F43"/>
    <w:rsid w:val="00D76A9E"/>
    <w:rsid w:val="00DA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6523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08652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8652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8652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865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865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86523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86523"/>
    <w:p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86523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8652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8652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8652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8652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086523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86523"/>
    <w:rPr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86523"/>
    <w:rPr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86523"/>
    <w:rPr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86523"/>
    <w:rPr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86523"/>
    <w:rPr>
      <w:rFonts w:asciiTheme="majorHAnsi" w:eastAsiaTheme="majorEastAsia" w:hAnsiTheme="majorHAnsi"/>
    </w:rPr>
  </w:style>
  <w:style w:type="paragraph" w:styleId="Naslov">
    <w:name w:val="Title"/>
    <w:basedOn w:val="Navaden"/>
    <w:next w:val="Navaden"/>
    <w:link w:val="NaslovZnak"/>
    <w:uiPriority w:val="10"/>
    <w:qFormat/>
    <w:rsid w:val="0008652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08652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8652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Znak">
    <w:name w:val="Podnaslov Znak"/>
    <w:basedOn w:val="Privzetapisavaodstavka"/>
    <w:link w:val="Podnaslov"/>
    <w:uiPriority w:val="11"/>
    <w:rsid w:val="00086523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086523"/>
    <w:rPr>
      <w:b/>
      <w:bCs/>
    </w:rPr>
  </w:style>
  <w:style w:type="character" w:styleId="Poudarek">
    <w:name w:val="Emphasis"/>
    <w:basedOn w:val="Privzetapisavaodstavka"/>
    <w:uiPriority w:val="20"/>
    <w:qFormat/>
    <w:rsid w:val="00086523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086523"/>
    <w:rPr>
      <w:szCs w:val="32"/>
    </w:rPr>
  </w:style>
  <w:style w:type="paragraph" w:styleId="Odstavekseznama">
    <w:name w:val="List Paragraph"/>
    <w:basedOn w:val="Navaden"/>
    <w:uiPriority w:val="34"/>
    <w:qFormat/>
    <w:rsid w:val="0008652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086523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086523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86523"/>
    <w:pPr>
      <w:ind w:left="720" w:right="720"/>
    </w:pPr>
    <w:rPr>
      <w:b/>
      <w:i/>
      <w:szCs w:val="2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86523"/>
    <w:rPr>
      <w:b/>
      <w:i/>
      <w:sz w:val="24"/>
    </w:rPr>
  </w:style>
  <w:style w:type="character" w:styleId="Neenpoudarek">
    <w:name w:val="Subtle Emphasis"/>
    <w:uiPriority w:val="19"/>
    <w:qFormat/>
    <w:rsid w:val="00086523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086523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086523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086523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086523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086523"/>
    <w:pPr>
      <w:outlineLvl w:val="9"/>
    </w:pPr>
  </w:style>
  <w:style w:type="character" w:styleId="Hiperpovezava">
    <w:name w:val="Hyperlink"/>
    <w:basedOn w:val="Privzetapisavaodstavka"/>
    <w:uiPriority w:val="99"/>
    <w:unhideWhenUsed/>
    <w:rsid w:val="00092151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21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2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us6.list-manage.com/track/click?u=215f8f23d8fa47510e4ffa76b&amp;id=7d83d172bc&amp;e=27982133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witter.us6.list-manage2.com/track/click?u=215f8f23d8fa47510e4ffa76b&amp;id=48bad8f343&amp;e=27982133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witter.us6.list-manage.com/track/click?u=215f8f23d8fa47510e4ffa76b&amp;id=1cd7fc8094&amp;e=279821331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synek@ebsco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fsd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konjedicma</dc:creator>
  <cp:keywords/>
  <dc:description/>
  <cp:lastModifiedBy>konjedicma</cp:lastModifiedBy>
  <cp:revision>2</cp:revision>
  <dcterms:created xsi:type="dcterms:W3CDTF">2014-03-20T12:50:00Z</dcterms:created>
  <dcterms:modified xsi:type="dcterms:W3CDTF">2014-03-20T12:50:00Z</dcterms:modified>
</cp:coreProperties>
</file>